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3" w:rsidRDefault="00F16C23" w:rsidP="007B0E1A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7B0E1A">
        <w:rPr>
          <w:b/>
          <w:lang w:val="en-US"/>
        </w:rPr>
        <w:t>OCEANEXT Conference, 3-5 July 2019</w:t>
      </w:r>
      <w:r>
        <w:rPr>
          <w:b/>
          <w:lang w:val="en-US"/>
        </w:rPr>
        <w:t xml:space="preserve">, </w:t>
      </w:r>
      <w:smartTag w:uri="urn:schemas-microsoft-com:office:smarttags" w:element="City">
        <w:r>
          <w:rPr>
            <w:b/>
            <w:lang w:val="en-US"/>
          </w:rPr>
          <w:t>Nantes</w:t>
        </w:r>
      </w:smartTag>
      <w:r>
        <w:rPr>
          <w:b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France</w:t>
          </w:r>
        </w:smartTag>
      </w:smartTag>
      <w:r>
        <w:rPr>
          <w:b/>
          <w:lang w:val="en-US"/>
        </w:rPr>
        <w:t>)</w:t>
      </w:r>
    </w:p>
    <w:p w:rsidR="00F16C23" w:rsidRPr="007B0E1A" w:rsidRDefault="004B3F47" w:rsidP="007B0E1A">
      <w:pPr>
        <w:spacing w:after="0" w:line="240" w:lineRule="auto"/>
        <w:jc w:val="center"/>
        <w:rPr>
          <w:lang w:val="en-US"/>
        </w:rPr>
      </w:pPr>
      <w:hyperlink r:id="rId6" w:history="1">
        <w:r w:rsidR="00F16C23" w:rsidRPr="0002253B">
          <w:rPr>
            <w:rStyle w:val="Lienhypertexte"/>
            <w:lang w:val="en-US"/>
          </w:rPr>
          <w:t>https://oceanext-2019.sciencesconf.org/</w:t>
        </w:r>
      </w:hyperlink>
    </w:p>
    <w:p w:rsidR="00F16C23" w:rsidRDefault="00F16C23" w:rsidP="007B0E1A">
      <w:pPr>
        <w:spacing w:after="0" w:line="240" w:lineRule="auto"/>
        <w:jc w:val="center"/>
        <w:rPr>
          <w:b/>
          <w:lang w:val="en-US"/>
        </w:rPr>
      </w:pPr>
    </w:p>
    <w:p w:rsidR="00F16C23" w:rsidRPr="007B0E1A" w:rsidRDefault="00F16C23" w:rsidP="007B0E1A">
      <w:pPr>
        <w:spacing w:after="0" w:line="240" w:lineRule="auto"/>
        <w:jc w:val="center"/>
        <w:rPr>
          <w:b/>
          <w:lang w:val="en-US"/>
        </w:rPr>
      </w:pPr>
      <w:r w:rsidRPr="007B0E1A">
        <w:rPr>
          <w:b/>
          <w:lang w:val="en-US"/>
        </w:rPr>
        <w:t>Special session “</w:t>
      </w:r>
      <w:r>
        <w:rPr>
          <w:b/>
          <w:lang w:val="en-US"/>
        </w:rPr>
        <w:t>Questioning and s</w:t>
      </w:r>
      <w:r w:rsidRPr="007B0E1A">
        <w:rPr>
          <w:b/>
          <w:lang w:val="en-US"/>
        </w:rPr>
        <w:t xml:space="preserve">haring innovation in </w:t>
      </w:r>
      <w:r>
        <w:rPr>
          <w:b/>
          <w:lang w:val="en-US"/>
        </w:rPr>
        <w:t xml:space="preserve">Higher Education on </w:t>
      </w:r>
      <w:r w:rsidRPr="007B0E1A">
        <w:rPr>
          <w:b/>
          <w:lang w:val="en-US"/>
        </w:rPr>
        <w:t>Marine Spatial Planning”</w:t>
      </w:r>
    </w:p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Default="00F16C23" w:rsidP="007B0E1A">
      <w:pPr>
        <w:spacing w:after="0" w:line="240" w:lineRule="auto"/>
        <w:rPr>
          <w:lang w:val="en-US"/>
        </w:rPr>
      </w:pPr>
      <w:r w:rsidRPr="00686625">
        <w:rPr>
          <w:b/>
          <w:lang w:val="en-US"/>
        </w:rPr>
        <w:t>Organizers:</w:t>
      </w:r>
      <w:r>
        <w:rPr>
          <w:lang w:val="en-US"/>
        </w:rPr>
        <w:t xml:space="preserve"> ERASMUS+ Strategic Partnership on Higher Education in MSP (</w:t>
      </w:r>
      <w:hyperlink r:id="rId7" w:history="1">
        <w:r w:rsidRPr="003F63DE">
          <w:rPr>
            <w:rStyle w:val="Lienhypertexte"/>
            <w:lang w:val="en-US"/>
          </w:rPr>
          <w:t>http://www.msp-education.eu</w:t>
        </w:r>
      </w:hyperlink>
      <w:r>
        <w:rPr>
          <w:lang w:val="en-US"/>
        </w:rPr>
        <w:t>) and Marine Spatial Planning Research Network (</w:t>
      </w:r>
      <w:hyperlink r:id="rId8" w:history="1">
        <w:r w:rsidRPr="0002253B">
          <w:rPr>
            <w:rStyle w:val="Lienhypertexte"/>
            <w:lang w:val="en-US"/>
          </w:rPr>
          <w:t>https://www.msprn.net/home</w:t>
        </w:r>
      </w:hyperlink>
      <w:r>
        <w:rPr>
          <w:lang w:val="en-US"/>
        </w:rPr>
        <w:t>)</w:t>
      </w:r>
    </w:p>
    <w:p w:rsidR="00F16C23" w:rsidRDefault="00F16C23" w:rsidP="007B0E1A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16C23" w:rsidTr="00E15937">
        <w:trPr>
          <w:jc w:val="center"/>
        </w:trPr>
        <w:tc>
          <w:tcPr>
            <w:tcW w:w="4606" w:type="dxa"/>
            <w:vAlign w:val="center"/>
          </w:tcPr>
          <w:p w:rsidR="00F16C23" w:rsidRDefault="004B3F47" w:rsidP="00E1593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2276475" cy="647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16C23" w:rsidRDefault="004B3F47" w:rsidP="00E1593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838200" cy="8667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Pr="007B0E1A" w:rsidRDefault="00F16C23" w:rsidP="007B0E1A">
      <w:pPr>
        <w:spacing w:after="0" w:line="240" w:lineRule="auto"/>
        <w:rPr>
          <w:b/>
          <w:lang w:val="en-US"/>
        </w:rPr>
      </w:pPr>
      <w:r w:rsidRPr="007B0E1A">
        <w:rPr>
          <w:b/>
          <w:lang w:val="en-US"/>
        </w:rPr>
        <w:t>Abstract</w:t>
      </w:r>
      <w:r>
        <w:rPr>
          <w:b/>
          <w:lang w:val="en-US"/>
        </w:rPr>
        <w:t>:</w:t>
      </w:r>
    </w:p>
    <w:p w:rsidR="00F16C23" w:rsidRPr="00904849" w:rsidRDefault="00F16C23" w:rsidP="00686625">
      <w:pPr>
        <w:spacing w:after="120" w:line="240" w:lineRule="auto"/>
        <w:jc w:val="both"/>
        <w:rPr>
          <w:lang w:val="en-US"/>
        </w:rPr>
      </w:pPr>
      <w:r w:rsidRPr="00904849">
        <w:rPr>
          <w:lang w:val="en-US"/>
        </w:rPr>
        <w:t xml:space="preserve">Marine Spatial Planning (MSP) is increasingly expanding throughout the world. MSP also require innovations able to renew </w:t>
      </w:r>
      <w:r>
        <w:rPr>
          <w:lang w:val="en-US"/>
        </w:rPr>
        <w:t>ways of thinking</w:t>
      </w:r>
      <w:r w:rsidRPr="00904849">
        <w:rPr>
          <w:lang w:val="en-US"/>
        </w:rPr>
        <w:t>, practices and methodologies</w:t>
      </w:r>
      <w:r>
        <w:rPr>
          <w:lang w:val="en-US"/>
        </w:rPr>
        <w:t xml:space="preserve"> when qualifying researchers and professionals. Education on MSP needs to focus</w:t>
      </w:r>
      <w:r w:rsidRPr="00904849">
        <w:rPr>
          <w:lang w:val="en-US"/>
        </w:rPr>
        <w:t xml:space="preserve">, e.g., improving participation, facing data issues and reinvesting questions such as the role of </w:t>
      </w:r>
      <w:r>
        <w:rPr>
          <w:lang w:val="en-US"/>
        </w:rPr>
        <w:t xml:space="preserve">marine </w:t>
      </w:r>
      <w:r w:rsidRPr="00904849">
        <w:rPr>
          <w:lang w:val="en-US"/>
        </w:rPr>
        <w:t>spa</w:t>
      </w:r>
      <w:r>
        <w:rPr>
          <w:lang w:val="en-US"/>
        </w:rPr>
        <w:t>ces and places</w:t>
      </w:r>
      <w:r w:rsidRPr="00904849">
        <w:rPr>
          <w:lang w:val="en-US"/>
        </w:rPr>
        <w:t xml:space="preserve">. </w:t>
      </w:r>
      <w:r w:rsidRPr="00686625">
        <w:rPr>
          <w:lang w:val="en-US"/>
        </w:rPr>
        <w:t xml:space="preserve">This special session aims to shift the scope of MSP discussions </w:t>
      </w:r>
      <w:r>
        <w:rPr>
          <w:lang w:val="en-US"/>
        </w:rPr>
        <w:t xml:space="preserve">to higher education </w:t>
      </w:r>
      <w:r w:rsidRPr="00686625">
        <w:rPr>
          <w:lang w:val="en-US"/>
        </w:rPr>
        <w:t xml:space="preserve">by placing them under the view of </w:t>
      </w:r>
      <w:r>
        <w:rPr>
          <w:lang w:val="en-US"/>
        </w:rPr>
        <w:t xml:space="preserve">methodological and didactical </w:t>
      </w:r>
      <w:r w:rsidRPr="00686625">
        <w:rPr>
          <w:lang w:val="en-US"/>
        </w:rPr>
        <w:t>innovations. It is then conceived as a room for discussions about innovations in or about MSP</w:t>
      </w:r>
      <w:r>
        <w:rPr>
          <w:lang w:val="en-US"/>
        </w:rPr>
        <w:t xml:space="preserve"> in the nexus of</w:t>
      </w:r>
      <w:r w:rsidRPr="00686625">
        <w:rPr>
          <w:lang w:val="en-US"/>
        </w:rPr>
        <w:t xml:space="preserve"> education, research and practice.</w:t>
      </w:r>
    </w:p>
    <w:p w:rsidR="00F16C23" w:rsidRPr="00904849" w:rsidRDefault="00F16C23" w:rsidP="00686625">
      <w:pPr>
        <w:spacing w:after="0" w:line="240" w:lineRule="auto"/>
        <w:jc w:val="both"/>
        <w:rPr>
          <w:lang w:val="en-US"/>
        </w:rPr>
      </w:pPr>
      <w:r w:rsidRPr="00904849">
        <w:rPr>
          <w:lang w:val="en-US"/>
        </w:rPr>
        <w:t>Contributions are thus expected in the following topics</w:t>
      </w:r>
      <w:r>
        <w:rPr>
          <w:lang w:val="en-US"/>
        </w:rPr>
        <w:t>:</w:t>
      </w:r>
    </w:p>
    <w:p w:rsidR="00F16C23" w:rsidRPr="00904849" w:rsidRDefault="00F16C23" w:rsidP="006866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904849">
        <w:rPr>
          <w:lang w:val="en-US"/>
        </w:rPr>
        <w:t>The meaning of innovation in MSP,</w:t>
      </w:r>
    </w:p>
    <w:p w:rsidR="00F16C23" w:rsidRPr="00090106" w:rsidRDefault="00F16C23" w:rsidP="000901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090106">
        <w:rPr>
          <w:lang w:val="en-US"/>
        </w:rPr>
        <w:t>Innovations in MSP education driven by research and practice,</w:t>
      </w:r>
    </w:p>
    <w:p w:rsidR="00F16C23" w:rsidRPr="00904849" w:rsidRDefault="00F16C23" w:rsidP="006866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904849">
        <w:rPr>
          <w:lang w:val="en-US"/>
        </w:rPr>
        <w:t>Innovations between education programs, disciplines and practices (in a comparative way).</w:t>
      </w:r>
    </w:p>
    <w:p w:rsidR="00F16C23" w:rsidRDefault="00F16C23" w:rsidP="00686625">
      <w:pPr>
        <w:spacing w:after="0" w:line="240" w:lineRule="auto"/>
        <w:jc w:val="both"/>
        <w:rPr>
          <w:lang w:val="en-US"/>
        </w:rPr>
      </w:pPr>
      <w:r w:rsidRPr="00904849">
        <w:rPr>
          <w:lang w:val="en-US"/>
        </w:rPr>
        <w:t xml:space="preserve">These </w:t>
      </w:r>
      <w:r>
        <w:rPr>
          <w:lang w:val="en-US"/>
        </w:rPr>
        <w:t>topics</w:t>
      </w:r>
      <w:r w:rsidRPr="00904849">
        <w:rPr>
          <w:lang w:val="en-US"/>
        </w:rPr>
        <w:t xml:space="preserve"> can also be viewed in a transversal way, in order to underline synergies and </w:t>
      </w:r>
      <w:r>
        <w:rPr>
          <w:lang w:val="en-US"/>
        </w:rPr>
        <w:t>cross-</w:t>
      </w:r>
      <w:r w:rsidRPr="00904849">
        <w:rPr>
          <w:lang w:val="en-US"/>
        </w:rPr>
        <w:t xml:space="preserve">fertilization. Any other proposition </w:t>
      </w:r>
      <w:r>
        <w:rPr>
          <w:lang w:val="en-US"/>
        </w:rPr>
        <w:t>is</w:t>
      </w:r>
      <w:r w:rsidRPr="00904849">
        <w:rPr>
          <w:lang w:val="en-US"/>
        </w:rPr>
        <w:t xml:space="preserve"> welcomed as far as it concerns innovations </w:t>
      </w:r>
      <w:r>
        <w:rPr>
          <w:lang w:val="en-US"/>
        </w:rPr>
        <w:t>in higher education on</w:t>
      </w:r>
      <w:r w:rsidRPr="00904849">
        <w:rPr>
          <w:lang w:val="en-US"/>
        </w:rPr>
        <w:t xml:space="preserve"> MSP.</w:t>
      </w:r>
    </w:p>
    <w:p w:rsidR="00F16C23" w:rsidRDefault="00F16C23" w:rsidP="00904849">
      <w:pPr>
        <w:spacing w:after="0" w:line="240" w:lineRule="auto"/>
        <w:rPr>
          <w:lang w:val="en-US"/>
        </w:rPr>
      </w:pPr>
    </w:p>
    <w:p w:rsidR="00F16C23" w:rsidRDefault="00F16C23" w:rsidP="0090484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session will get stimulus from introduction to results and services of the ERASMUS+ Strategic Partnership on Higher Education in MSP. </w:t>
      </w:r>
    </w:p>
    <w:p w:rsidR="00F16C23" w:rsidRDefault="00F16C23" w:rsidP="00904849">
      <w:pPr>
        <w:spacing w:after="0" w:line="240" w:lineRule="auto"/>
        <w:rPr>
          <w:lang w:val="en-US"/>
        </w:rPr>
      </w:pPr>
    </w:p>
    <w:p w:rsidR="00F16C23" w:rsidRPr="007B0E1A" w:rsidRDefault="00F16C23" w:rsidP="007B0E1A">
      <w:pPr>
        <w:spacing w:after="0" w:line="240" w:lineRule="auto"/>
        <w:rPr>
          <w:lang w:val="en-US"/>
        </w:rPr>
      </w:pPr>
      <w:r w:rsidRPr="007B0E1A">
        <w:rPr>
          <w:b/>
          <w:lang w:val="en-US"/>
        </w:rPr>
        <w:t>Keynote speaker (tbc):</w:t>
      </w:r>
      <w:r>
        <w:rPr>
          <w:lang w:val="en-US"/>
        </w:rPr>
        <w:t xml:space="preserve"> Prof.</w:t>
      </w:r>
      <w:r w:rsidRPr="007B0E1A">
        <w:rPr>
          <w:lang w:val="en-US"/>
        </w:rPr>
        <w:t xml:space="preserve"> </w:t>
      </w:r>
      <w:r>
        <w:rPr>
          <w:lang w:val="en-US"/>
        </w:rPr>
        <w:t>Igor Mayer (</w:t>
      </w:r>
      <w:hyperlink r:id="rId11" w:history="1">
        <w:r w:rsidRPr="0002253B">
          <w:rPr>
            <w:rStyle w:val="Lienhypertexte"/>
            <w:lang w:val="en-US"/>
          </w:rPr>
          <w:t>https://pure.buas.nl/en/persons/igor-mayer-dr</w:t>
        </w:r>
      </w:hyperlink>
      <w:r>
        <w:rPr>
          <w:lang w:val="en-US"/>
        </w:rPr>
        <w:t>), Breda U</w:t>
      </w:r>
      <w:r w:rsidRPr="007B0E1A">
        <w:rPr>
          <w:lang w:val="en-US"/>
        </w:rPr>
        <w:t xml:space="preserve">niversity of </w:t>
      </w:r>
      <w:r>
        <w:rPr>
          <w:lang w:val="en-US"/>
        </w:rPr>
        <w:t>A</w:t>
      </w:r>
      <w:r w:rsidRPr="007B0E1A">
        <w:rPr>
          <w:lang w:val="en-US"/>
        </w:rPr>
        <w:t xml:space="preserve">pplied </w:t>
      </w:r>
      <w:r>
        <w:rPr>
          <w:lang w:val="en-US"/>
        </w:rPr>
        <w:t>S</w:t>
      </w:r>
      <w:r w:rsidRPr="007B0E1A">
        <w:rPr>
          <w:lang w:val="en-US"/>
        </w:rPr>
        <w:t>cience</w:t>
      </w:r>
      <w:r>
        <w:rPr>
          <w:lang w:val="en-US"/>
        </w:rPr>
        <w:t xml:space="preserve"> (NL)</w:t>
      </w:r>
    </w:p>
    <w:p w:rsidR="00F16C23" w:rsidRDefault="00F16C23" w:rsidP="007B0E1A">
      <w:pPr>
        <w:spacing w:after="0" w:line="240" w:lineRule="auto"/>
        <w:rPr>
          <w:lang w:val="en-US"/>
        </w:rPr>
      </w:pPr>
    </w:p>
    <w:p w:rsidR="00F16C23" w:rsidRPr="007B0E1A" w:rsidRDefault="00F16C23" w:rsidP="007B0E1A">
      <w:pPr>
        <w:spacing w:after="0" w:line="240" w:lineRule="auto"/>
        <w:rPr>
          <w:b/>
          <w:lang w:val="en-US"/>
        </w:rPr>
      </w:pPr>
      <w:r w:rsidRPr="007B0E1A">
        <w:rPr>
          <w:b/>
          <w:lang w:val="en-US"/>
        </w:rPr>
        <w:t>Details</w:t>
      </w:r>
      <w:r>
        <w:rPr>
          <w:b/>
          <w:lang w:val="en-US"/>
        </w:rPr>
        <w:t>:</w:t>
      </w:r>
    </w:p>
    <w:p w:rsidR="00F16C23" w:rsidRDefault="00F16C23" w:rsidP="007B0E1A">
      <w:pPr>
        <w:spacing w:after="0" w:line="240" w:lineRule="auto"/>
        <w:rPr>
          <w:lang w:val="en-US"/>
        </w:rPr>
      </w:pPr>
      <w:r>
        <w:rPr>
          <w:lang w:val="en-US"/>
        </w:rPr>
        <w:t>Abstracts submission deadline</w:t>
      </w:r>
      <w:r w:rsidRPr="007B0E1A">
        <w:rPr>
          <w:lang w:val="en-US"/>
        </w:rPr>
        <w:t xml:space="preserve">: </w:t>
      </w:r>
      <w:r>
        <w:rPr>
          <w:lang w:val="en-US"/>
        </w:rPr>
        <w:t>March 1st</w:t>
      </w:r>
    </w:p>
    <w:p w:rsidR="00F16C23" w:rsidRPr="007B0E1A" w:rsidRDefault="00F16C23" w:rsidP="007B0E1A">
      <w:pPr>
        <w:spacing w:after="0" w:line="240" w:lineRule="auto"/>
        <w:rPr>
          <w:lang w:val="en-US"/>
        </w:rPr>
      </w:pPr>
      <w:r>
        <w:rPr>
          <w:lang w:val="en-US"/>
        </w:rPr>
        <w:t>Notification</w:t>
      </w:r>
      <w:r w:rsidRPr="007B0E1A">
        <w:rPr>
          <w:lang w:val="en-US"/>
        </w:rPr>
        <w:t xml:space="preserve"> of acceptance</w:t>
      </w:r>
      <w:r>
        <w:rPr>
          <w:lang w:val="en-US"/>
        </w:rPr>
        <w:t>: March 30th</w:t>
      </w:r>
    </w:p>
    <w:p w:rsidR="00F16C23" w:rsidRDefault="00F16C23" w:rsidP="007B0E1A">
      <w:pPr>
        <w:spacing w:after="0" w:line="240" w:lineRule="auto"/>
        <w:rPr>
          <w:lang w:val="en-US"/>
        </w:rPr>
      </w:pPr>
      <w:r w:rsidRPr="007B0E1A">
        <w:rPr>
          <w:lang w:val="en-US"/>
        </w:rPr>
        <w:t>Registration and fee payme</w:t>
      </w:r>
      <w:r>
        <w:rPr>
          <w:lang w:val="en-US"/>
        </w:rPr>
        <w:t>nt:</w:t>
      </w:r>
    </w:p>
    <w:p w:rsidR="00F16C23" w:rsidRPr="007B0E1A" w:rsidRDefault="00F16C23" w:rsidP="007B0E1A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7B0E1A">
        <w:rPr>
          <w:lang w:val="en-US"/>
        </w:rPr>
        <w:t>Early bird registration deadline: From January 25</w:t>
      </w:r>
      <w:r w:rsidRPr="007B0E1A">
        <w:rPr>
          <w:vertAlign w:val="superscript"/>
          <w:lang w:val="en-US"/>
        </w:rPr>
        <w:t>th</w:t>
      </w:r>
      <w:r w:rsidRPr="007B0E1A">
        <w:rPr>
          <w:lang w:val="en-US"/>
        </w:rPr>
        <w:t xml:space="preserve"> to April 30th</w:t>
      </w:r>
    </w:p>
    <w:p w:rsidR="00F16C23" w:rsidRPr="007B0E1A" w:rsidRDefault="00F16C23" w:rsidP="007B0E1A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7B0E1A">
        <w:rPr>
          <w:lang w:val="en-US"/>
        </w:rPr>
        <w:t>Late registration deadline: June 15th</w:t>
      </w:r>
    </w:p>
    <w:p w:rsidR="00F16C23" w:rsidRPr="007B0E1A" w:rsidRDefault="00F16C23" w:rsidP="007B0E1A">
      <w:pPr>
        <w:spacing w:after="0" w:line="240" w:lineRule="auto"/>
        <w:rPr>
          <w:lang w:val="en-US"/>
        </w:rPr>
      </w:pPr>
      <w:r>
        <w:rPr>
          <w:lang w:val="en-US"/>
        </w:rPr>
        <w:t>Final article submission</w:t>
      </w:r>
      <w:r w:rsidRPr="007B0E1A">
        <w:rPr>
          <w:lang w:val="en-US"/>
        </w:rPr>
        <w:t xml:space="preserve">: July 30th (Special edition </w:t>
      </w:r>
      <w:r w:rsidRPr="007B0E1A">
        <w:rPr>
          <w:i/>
          <w:lang w:val="en-US"/>
        </w:rPr>
        <w:t>in IOP Conference series: Earth and Environmental Science</w:t>
      </w:r>
      <w:r w:rsidRPr="007B0E1A">
        <w:rPr>
          <w:lang w:val="en-US"/>
        </w:rPr>
        <w:t xml:space="preserve"> or </w:t>
      </w:r>
      <w:r w:rsidRPr="007B0E1A">
        <w:rPr>
          <w:i/>
          <w:lang w:val="en-US"/>
        </w:rPr>
        <w:t>Advances in Climate Change Research</w:t>
      </w:r>
      <w:r w:rsidRPr="007B0E1A">
        <w:rPr>
          <w:lang w:val="en-US"/>
        </w:rPr>
        <w:t>)</w:t>
      </w:r>
    </w:p>
    <w:sectPr w:rsidR="00F16C23" w:rsidRPr="007B0E1A" w:rsidSect="00B0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327"/>
    <w:multiLevelType w:val="hybridMultilevel"/>
    <w:tmpl w:val="12F46D26"/>
    <w:lvl w:ilvl="0" w:tplc="51081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CC6"/>
    <w:multiLevelType w:val="hybridMultilevel"/>
    <w:tmpl w:val="65FA9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D5D56"/>
    <w:multiLevelType w:val="hybridMultilevel"/>
    <w:tmpl w:val="DD92B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A"/>
    <w:rsid w:val="0002253B"/>
    <w:rsid w:val="00090106"/>
    <w:rsid w:val="000E5764"/>
    <w:rsid w:val="00286B63"/>
    <w:rsid w:val="00346F59"/>
    <w:rsid w:val="003F63DE"/>
    <w:rsid w:val="004667F1"/>
    <w:rsid w:val="004B3F47"/>
    <w:rsid w:val="00686625"/>
    <w:rsid w:val="006C0B78"/>
    <w:rsid w:val="007B0E1A"/>
    <w:rsid w:val="00904849"/>
    <w:rsid w:val="00B0725A"/>
    <w:rsid w:val="00B531B8"/>
    <w:rsid w:val="00C65C43"/>
    <w:rsid w:val="00E15937"/>
    <w:rsid w:val="00F16C23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B0E1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B0E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0901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901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010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901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90106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01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E159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B0E1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B0E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0901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901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010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901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90106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01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E159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rn.net/h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p-educatio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eanext-2019.sciencesconf.org/" TargetMode="External"/><Relationship Id="rId11" Type="http://schemas.openxmlformats.org/officeDocument/2006/relationships/hyperlink" Target="https://pure.buas.nl/en/persons/igor-mayer-d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réviseur 1-2</dc:creator>
  <cp:lastModifiedBy>Joséphine LABAT</cp:lastModifiedBy>
  <cp:revision>2</cp:revision>
  <dcterms:created xsi:type="dcterms:W3CDTF">2019-02-12T11:37:00Z</dcterms:created>
  <dcterms:modified xsi:type="dcterms:W3CDTF">2019-02-12T11:37:00Z</dcterms:modified>
</cp:coreProperties>
</file>